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FluglatV (Brandenburg) — Inkrafttreten</w:t>
      </w:r>
    </w:p>
    <w:p>
      <w:r>
        <w:rPr>
          <w:color w:val="555555"/>
          <w:sz w:val="18"/>
        </w:rPr>
        <w:t xml:space="preserve">Fluglaternenverordnung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2. Februar 2010</w:t>
      </w:r>
    </w:p>
    <w:p>
      <w:r>
        <w:t xml:space="preserve">Der Minister des Innern</w:t>
      </w:r>
    </w:p>
    <w:p>
      <w:r>
        <w:t xml:space="preserve">Rainer Speer</w:t>
      </w:r>
    </w:p>
    <w:p>
      <w:r>
        <w:rPr>
          <w:color w:val="555555"/>
          <w:sz w:val="17"/>
        </w:rPr>
        <w:t xml:space="preserve">Zitiervorschlag: § 4 FluglatV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https://recht.nulegal.eu/gesetze/FluglatV/4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