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FluglatV (Brandenburg) — Verbot</w:t>
      </w:r>
    </w:p>
    <w:p>
      <w:r>
        <w:rPr>
          <w:color w:val="555555"/>
          <w:sz w:val="18"/>
        </w:rPr>
        <w:t xml:space="preserve">Fluglaternenverordnung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Es ist verboten, unbemannte Ballone aufsteigen zu lassen, bei denen die Luft im Balloninneren mit festen, flüssigen oder gasförmigen Brennstoffen erwärmt wird (Fluglaternen).</w:t>
      </w:r>
    </w:p>
    <w:p>
      <w:r>
        <w:rPr>
          <w:color w:val="555555"/>
          <w:sz w:val="17"/>
        </w:rPr>
        <w:t xml:space="preserve">Zitiervorschlag: § 2 FluglatV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https://recht.nulegal.eu/gesetze/FluglatV/2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