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FluggastrechteVO — Anspruch auf Erstattung oder anderweitige Beförderung</w:t>
      </w:r>
    </w:p>
    <w:p>
      <w:r>
        <w:rPr>
          <w:color w:val="555555"/>
          <w:sz w:val="18"/>
        </w:rPr>
        <w:t xml:space="preserve">FluggastrechteVO</w:t>
      </w:r>
    </w:p>
    <w:p>
      <w:r>
        <w:rPr>
          <w:color w:val="555555"/>
          <w:sz w:val="18"/>
        </w:rPr>
        <w:t xml:space="preserve">Stand: 22.07.2026 (konsolidierte Textfassung, kein amtliches Inkrafttretensdatum)</w:t>
      </w:r>
    </w:p>
    <w:p>
      <w:r>
        <w:t xml:space="preserve">(1) Wird auf diesen Artikel Bezug genommen, so können Fluggäste wählen zwischen</w:t>
      </w:r>
    </w:p>
    <w:p>
      <w:r>
        <w:t xml:space="preserve">a)</w:t>
      </w:r>
    </w:p>
    <w:p>
      <w:r>
        <w:t xml:space="preserve">— der binnen sieben Tagen zu leistenden vollständigen Erstattung der Flugscheinkosten nach den in Artikel 7 Absatz 3 genannten Modalitäten zu dem Preis, zu dem der Flugschein erworben wurde, für nicht zurückgelegte Reiseabschnitte sowie für bereits zurückgelegte Reiseabschnitte, wenn der Flug im Hinblick auf den ursprünglichen Reiseplan des Fluggastes zwecklos geworden ist, gegebenenfalls in Verbindung mit</w:t>
      </w:r>
    </w:p>
    <w:p>
      <w:r>
        <w:t xml:space="preserve">— einem Rückflug zum ersten Abflugort zum frühestmöglichen Zeitpunkt,</w:t>
      </w:r>
    </w:p>
    <w:p>
      <w:r>
        <w:t xml:space="preserve">b) anderweitiger Beförderung zum Endziel unter vergleichbaren Reisebedingungen zum frühestmöglichen Zeitpunkt oder</w:t>
      </w:r>
    </w:p>
    <w:p>
      <w:r>
        <w:t xml:space="preserve">c) anderweitiger Beförderung zum Endziel unter vergleichbaren Reisebedingungen zu einem späteren Zeitpunkt nach Wunsch des Fluggastes, vorbehaltlich verfügbarer Plätze.</w:t>
      </w:r>
    </w:p>
    <w:p>
      <w:r>
        <w:t xml:space="preserve">(2) Absatz 1 Buchstabe a) gilt auch für Fluggäste, deren Flüge Bestandteil einer Pauschalreise sind, mit Ausnahme des Anspruchs auf Erstattung, sofern dieser sich aus der Richtlinie 90/314/EWG ergibt.</w:t>
      </w:r>
    </w:p>
    <w:p>
      <w:r>
        <w:t xml:space="preserve">(3) Befinden sich an einem Ort, in einer Stadt oder Region mehrere Flughäfen und bietet ein ausführendes Luftfahrtunternehmen einem Fluggast einen Flug zu einem anderen als dem in der ursprünglichen Buchung vorgesehenen Zielflughafen an, so trägt das ausführende Luftfahrtunternehmen die Kosten für die Beförderung des Fluggastes von dem anderen Flughafen entweder zu dem in der ursprünglichen Buchung vorgesehenen Zielflughafen oder zu einem sonstigen nahe gelegenen, mit dem Fluggast vereinbarten Zielort.</w:t>
      </w:r>
    </w:p>
    <w:p>
      <w:r>
        <w:rPr>
          <w:color w:val="555555"/>
          <w:sz w:val="17"/>
        </w:rPr>
        <w:t xml:space="preserve">Zitiervorschlag: Art 8 FluggastrechteVO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https://recht.nulegal.eu/gesetze/FluggastrechteVO/8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