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FluggastrechteVO — Anwendungsbereich</w:t>
      </w:r>
    </w:p>
    <w:p>
      <w:r>
        <w:rPr>
          <w:color w:val="555555"/>
          <w:sz w:val="18"/>
        </w:rPr>
        <w:t xml:space="preserve">FluggastrechteVO</w:t>
      </w:r>
    </w:p>
    <w:p>
      <w:r>
        <w:rPr>
          <w:color w:val="555555"/>
          <w:sz w:val="18"/>
        </w:rPr>
        <w:t xml:space="preserve">Stand: 22.07.2026 (konsolidierte Textfassung, kein amtliches Inkrafttretensdatum)</w:t>
      </w:r>
    </w:p>
    <w:p>
      <w:r>
        <w:t xml:space="preserve">(1) Diese Verordnung gilt</w:t>
      </w:r>
    </w:p>
    <w:p>
      <w:r>
        <w:t xml:space="preserve">a) für Fluggäste, die auf Flughäfen im Gebiet eines Mitgliedstaats, das den Bestimmungen des Vertrags unterliegt, einen Flug antreten;</w:t>
      </w:r>
    </w:p>
    <w:p>
      <w:r>
        <w:t xml:space="preserve">b) sofern das ausführende Luftfahrtunternehmen ein Luftfahrtunternehmen der Gemeinschaft ist, für Fluggäste, die von einem Flughafen in einem Drittstaat einen Flug zu einem Flughafen im Gebiet eines Mitgliedstaats, das den Bestimmungen des Vertrags unterliegt, antreten, es sei denn, sie haben in diesem Drittstaat Gegen- oder Ausgleichs- und Unterstützungsleistungen erhalten.</w:t>
      </w:r>
    </w:p>
    <w:p>
      <w:r>
        <w:t xml:space="preserve">(2) Absatz 1 gilt unter der Bedingung, dass die Fluggäste</w:t>
      </w:r>
    </w:p>
    <w:p>
      <w:r>
        <w:t xml:space="preserve">a) über eine bestätigte Buchung für den betreffenden Flug verfügen und — außer im Fall einer Annullierung gemäß Artikel 5 — sich</w:t>
      </w:r>
    </w:p>
    <w:p>
      <w:r>
        <w:t xml:space="preserve">—</w:t>
      </w:r>
    </w:p>
    <w:p>
      <w:r>
        <w:t xml:space="preserve">—</w:t>
      </w:r>
    </w:p>
    <w:p>
      <w:r>
        <w:t xml:space="preserve">b) von einem Luftfahrtunternehmen oder Reiseunternehmen von einem Flug, für den sie eine Buchung besassen, auf einen anderen Flug verlegt wurden, ungeachtet des Grundes hierfür.</w:t>
      </w:r>
    </w:p>
    <w:p>
      <w:r>
        <w:t xml:space="preserve">(3)</w:t>
      </w:r>
    </w:p>
    <w:p>
      <w:r>
        <w:t xml:space="preserve">(4)</w:t>
      </w:r>
    </w:p>
    <w:p>
      <w:r>
        <w:t xml:space="preserve">(5)</w:t>
      </w:r>
    </w:p>
    <w:p>
      <w:r>
        <w:t xml:space="preserve">(6)</w:t>
      </w:r>
    </w:p>
    <w:p>
      <w:r>
        <w:rPr>
          <w:color w:val="555555"/>
          <w:sz w:val="17"/>
        </w:rPr>
        <w:t xml:space="preserve">Zitiervorschlag: Art 3 FluggastrechteVO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https://recht.nulegal.eu/gesetze/FluggastrechteVO/3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