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FluggastrechteVO — Begriffsbestimmungen</w:t>
      </w:r>
    </w:p>
    <w:p>
      <w:r>
        <w:rPr>
          <w:color w:val="555555"/>
          <w:sz w:val="18"/>
        </w:rPr>
        <w:t xml:space="preserve">FluggastrechteVO</w:t>
      </w:r>
    </w:p>
    <w:p>
      <w:r>
        <w:rPr>
          <w:color w:val="555555"/>
          <w:sz w:val="18"/>
        </w:rPr>
        <w:t xml:space="preserve">Stand: 22.07.2026 (konsolidierte Textfassung, kein amtliches Inkrafttretensdatum)</w:t>
      </w:r>
    </w:p>
    <w:p>
      <w:r>
        <w:t xml:space="preserve">Im Sinne dieser Verordnung bezeichnet der Ausdruck</w:t>
      </w:r>
    </w:p>
    <w:p>
      <w:r>
        <w:t xml:space="preserve">a) „Luftfahrtunternehmen“ ein Lufttransportunternehmen mit einer gültigen Betriebsgenehmigung;</w:t>
      </w:r>
    </w:p>
    <w:p>
      <w:r>
        <w:t xml:space="preserve">b) „ausführendes Luftfahrtunternehmen“ ein Luftfahrtunternehmen, das im Rahmen eines Vertrags mit einem Fluggast oder im Namen einer anderen — juristischen oder natürlichen — Person, die mit dem betreffenden Fluggast in einer Vertragsbeziehung steht, einen Flug durchführt oder durchzuführen beabsichtigt;</w:t>
      </w:r>
    </w:p>
    <w:p>
      <w:r>
        <w:t xml:space="preserve">c) „Luftfahrtunternehmen der Gemeinschaft“ ein Luftfahrtunternehmen mit einer gültigen Betriebsgenehmigung, die von einem Mitgliedstaat gemäß der Verordnung (EWG) Nr. 2407/92 des Rates vom 23. Juli 1992 über die Erteilung von Betriebsgenehmigungen an Luftfahrtunternehmen ( 1 ) erteilt wurde;</w:t>
      </w:r>
    </w:p>
    <w:p>
      <w:r>
        <w:t xml:space="preserve">d) „Reiseunternehmen“ einen Veranstalter im Sinne von Artikel 2 Nummer 2 der Richtlinie 90/314/EWG des Rates vom 13. Juni 1990 über Pauschalreisen ( 2 ), mit Ausnahme von Luftfahrtunternehmen;</w:t>
      </w:r>
    </w:p>
    <w:p>
      <w:r>
        <w:t xml:space="preserve">e) „Pauschalreise“ die in Artikel 2 Nummer 1 der Richtlinie 90/314/EWG definierten Leistungen;</w:t>
      </w:r>
    </w:p>
    <w:p>
      <w:r>
        <w:t xml:space="preserve">f) „Flugschein“ ein gültiges, einen Anspruch auf Beförderungsleistung begründendes Dokument oder eine gleichwertige papierlose, auch elektronisch ausgestellte Berechtigung, das bzw. die von dem Luftfahrtunternehmen oder dessen zugelassenem Vermittler ausgegeben oder genehmigt wurde;</w:t>
      </w:r>
    </w:p>
    <w:p>
      <w:r>
        <w:t xml:space="preserve">g) „Buchung“ den Umstand, dass der Fluggast über einen Flugschein oder einen anderen Beleg verfügt, aus dem hervorgeht, dass die Buchung von dem Luftfahrtunternehmen oder dem Reiseunternehmen akzeptiert und registriert wurde;</w:t>
      </w:r>
    </w:p>
    <w:p>
      <w:r>
        <w:t xml:space="preserve">h) „Endziel“ den Zielort auf dem am Abfertigungsschalter vorgelegten Flugschein bzw. bei direkten Anschlussflügen den Zielort des letzten Fluges; verfügbare alternative Anschlussflüge bleiben unberücksichtigt, wenn die planmäßige Ankunftszeit eingehalten wird;</w:t>
      </w:r>
    </w:p>
    <w:p>
      <w:r>
        <w:t xml:space="preserve">i) „Person mit eingeschränkter Mobilität“ eine Person, deren Mobilität bei der Benutzung von Beförderungsmitteln aufgrund einer körperlichen Behinderung (sensorischer oder motorischer Art, dauerhaft oder vorübergehend), einer geistigen Beeinträchtigung, ihres Alters oder aufgrund anderer Behinderungen eingeschränkt ist und deren Zustand besondere Unterstützung und eine Anpassung der allen Fluggästen bereitgestellten Dienstleistungen an die Bedürfnisse dieser Person erfordert;</w:t>
      </w:r>
    </w:p>
    <w:p>
      <w:r>
        <w:t xml:space="preserve">j) „Nichtbeförderung“ die Weigerung, Fluggäste zu befördern, obwohl sie sich unter den in Artikel 3 Absatz 2 genannten Bedingungen am Flugsteig eingefunden haben, sofern keine vertretbaren Gründe für die Nichtbeförderung gegeben sind, z. B. im Zusammenhang mit der Gesundheit oder der allgemeinen oder betrieblichen Sicherheit oder unzureichenden Reiseunterlagen;</w:t>
      </w:r>
    </w:p>
    <w:p>
      <w:r>
        <w:t xml:space="preserve">k) „Freiwilliger“ eine Person, die sich unter den in Artikel 3 Absatz 2 genannten Bedingungen am Flugsteig eingefunden hat und dem Aufruf des Luftfahrtunternehmens nachkommt, gegen eine entsprechende Gegenleistung von ihrer Buchung zurückzutreten;</w:t>
      </w:r>
    </w:p>
    <w:p>
      <w:r>
        <w:t xml:space="preserve">l) „Annullierung“ die Nichtdurchführung eines geplanten Fluges, für den zumindest ein Platz reserviert war.</w:t>
      </w:r>
    </w:p>
    <w:p>
      <w:r>
        <w:rPr>
          <w:color w:val="555555"/>
          <w:sz w:val="17"/>
        </w:rPr>
        <w:t xml:space="preserve">Zitiervorschlag: Art 2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