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FluggastrechteVO — Ausschluss der Rechtsbeschränkung</w:t>
      </w:r>
    </w:p>
    <w:p>
      <w:r>
        <w:rPr>
          <w:color w:val="555555"/>
          <w:sz w:val="18"/>
        </w:rPr>
        <w:t xml:space="preserve">FluggastrechteVO</w:t>
      </w:r>
    </w:p>
    <w:p>
      <w:r>
        <w:rPr>
          <w:color w:val="555555"/>
          <w:sz w:val="18"/>
        </w:rPr>
        <w:t xml:space="preserve">Stand: 22.07.2026 (konsolidierte Textfassung, kein amtliches Inkrafttretensdatum)</w:t>
      </w:r>
    </w:p>
    <w:p>
      <w:r>
        <w:t xml:space="preserve">(1) Die Verpflichtungen gegenüber Fluggästen gemäß dieser Verordnung dürfen — insbesondere durch abweichende oder restriktive Bestimmungen im Beförderungsvertrag — nicht eingeschränkt oder ausgeschlossen werden.</w:t>
      </w:r>
    </w:p>
    <w:p>
      <w:r>
        <w:t xml:space="preserve">(2) Wird dennoch eine abweichende oder restriktive Bestimmung bei einem Fluggast angewandt oder wird der Fluggast nicht ordnungsgemäß über seine Rechte unterrichtet und hat er aus diesem Grund einer Ausgleichsleistung zugestimmt, die unter der in dieser Verordnung vorgesehenen Leistung liegt, so ist der Fluggast weiterhin berechtigt, die erforderlichen Schritte bei den zuständigen Gerichten oder Stellen zu unternehmen, um eine zusätzliche Ausgleichsleistung zu erhalten.</w:t>
      </w:r>
    </w:p>
    <w:p>
      <w:r>
        <w:rPr>
          <w:color w:val="555555"/>
          <w:sz w:val="17"/>
        </w:rPr>
        <w:t xml:space="preserve">Zitiervorschlag: Art 15 FluggastrechteVO</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https://recht.nulegal.eu/gesetze/FluggastrechteVO/15</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