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 FluggastrechteVO — Regressansprüche</w:t>
      </w:r>
    </w:p>
    <w:p>
      <w:r>
        <w:rPr>
          <w:color w:val="555555"/>
          <w:sz w:val="18"/>
        </w:rPr>
        <w:t xml:space="preserve">FluggastrechteVO</w:t>
      </w:r>
    </w:p>
    <w:p>
      <w:r>
        <w:rPr>
          <w:color w:val="555555"/>
          <w:sz w:val="18"/>
        </w:rPr>
        <w:t xml:space="preserve">Stand: 22.07.2026 (konsolidierte Textfassung, kein amtliches Inkrafttretensdatum)</w:t>
      </w:r>
    </w:p>
    <w:p>
      <w:r>
        <w:t xml:space="preserve">In Fällen, in denen ein ausführendes Luftfahrtunternehmen eine Ausgleichszahlung leistet oder die sonstigen sich aus dieser Verordnung ergebenden Verpflichtungen erfüllt, kann keine Bestimmung dieser Verordnung in dem Sinne ausgelegt werden, dass sie das Recht des Luftfahrtunternehmens beschränkt, nach geltendem Recht bei anderen Personen, auch Dritten, Regress zu nehmen. Insbesondere beschränkt diese Verordnung in keiner Weise das Recht des ausführenden Luftfahrtunternehmens, Erstattung von einem Reiseunternehmen oder einer anderen Person zu verlangen, mit der es in einer Vertragsbeziehung steht. Gleichfalls kann keine Bestimmung dieser Verordnung in dem Sinne ausgelegt werden, dass sie das Recht eines Reiseunternehmens oder eines nicht zu den Fluggästen zählenden Dritten, mit dem das ausführende Luftfahrtunternehmen in einer Vertragsbeziehung steht, beschränkt, vom ausführenden Luftfahrtunternehmen gemäß den anwendbaren einschlägigen Rechtsvorschriften eine Erstattung oder Entschädigung zu verlangen.</w:t>
      </w:r>
    </w:p>
    <w:p>
      <w:r>
        <w:rPr>
          <w:color w:val="555555"/>
          <w:sz w:val="17"/>
        </w:rPr>
        <w:t xml:space="preserve">Zitiervorschlag: Art 13 FluggastrechteVO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