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 FluggastrechteVO — Weiter gehender Schadensersatz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 Verordnung gilt unbeschadet eines weiter gehenden Schadensersatzanspruchs des Fluggastes. Die nach dieser Verordnung gewährte Ausgleichsleistung kann auf einen solchen Schadensersatzanspruch angerechnet werden.</w:t>
      </w:r>
    </w:p>
    <w:p>
      <w:r>
        <w:t xml:space="preserve">(2) Unbeschadet der einschlägigen Grundsätze und Vorschriften des einzelstaatlichen Rechts, einschließlich der Rechtsprechung, gilt Absatz 1 nicht für Fluggäste, die nach Artikel 4 Absatz 1 freiwillig auf eine Buchung verzichtet haben.</w:t>
      </w:r>
    </w:p>
    <w:p>
      <w:r>
        <w:rPr>
          <w:color w:val="555555"/>
          <w:sz w:val="17"/>
        </w:rPr>
        <w:t xml:space="preserve">Zitiervorschlag: Art 12 FluggastrechteVO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