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FluggastrechteVO — Personen mit eingeschränkter Mobilität oder mit besonderen Bedürfnissen</w:t>
      </w:r>
    </w:p>
    <w:p>
      <w:r>
        <w:rPr>
          <w:color w:val="555555"/>
          <w:sz w:val="18"/>
        </w:rPr>
        <w:t xml:space="preserve">FluggastrechteVO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ausführenden Luftfahrtunternehmen geben Personen mit eingeschränkter Mobilität und deren Begleitpersonen oder Begleithunden mit entsprechender Bescheinigung sowie Kindern ohne Begleitung bei der Beförderung Vorrang.</w:t>
      </w:r>
    </w:p>
    <w:p>
      <w:r>
        <w:t xml:space="preserve">(2) Im Fall einer Nichtbeförderung, Annullierung oder Verspätung von beliebiger Dauer haben Personen mit eingeschränkter Mobilität und deren Begleitpersonen sowie Kinder ohne Begleitung Anspruch auf baldmögliche Betreuung gemäß Artikel 9.</w:t>
      </w:r>
    </w:p>
    <w:p>
      <w:r>
        <w:rPr>
          <w:color w:val="555555"/>
          <w:sz w:val="17"/>
        </w:rPr>
        <w:t xml:space="preserve">Zitiervorschlag: Art 11 FluggastrechteVO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https://recht.nulegal.eu/gesetze/FluggastrechteVO/11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