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FluggastrechteVO — Höherstufung und Herabstufung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Verlegt ein ausführendes Luftfahrtunternehmen einen Fluggast in eine höhere Klasse als die, für die der Flugschein erworben wurde, so darf es dafür keinerlei Aufschlag oder Zuzahlung erheben.</w:t>
      </w:r>
    </w:p>
    <w:p>
      <w:r>
        <w:t xml:space="preserve">(2) Verlegt ein ausführendes Luftfahrtunternehmen einen Fluggast in eine niedrigere Klasse als die, für die der Flugschein erworben wurde, so erstattet es binnen sieben Tagen nach den in Artikel 7 Absatz 3 genannten Modalitäten</w:t>
      </w:r>
    </w:p>
    <w:p>
      <w:r>
        <w:t xml:space="preserve">a) bei allen Flügen über eine Entfernung von 1 500 km oder weniger 30 % des Preises des Flugscheins oder</w:t>
      </w:r>
    </w:p>
    <w:p>
      <w:r>
        <w:t xml:space="preserve">b) bei allen innergemeinschaftlichen Flügen über eine Entfernung von mehr als 1 500 km, mit Ausnahme von Flügen zwischen dem europäischen Hoheitsgebiet der Mitgliedstaaten und den französischen überseeischen Departements, und bei allen anderen Flügen über eine Entfernung zwischen 1 500 km und 3 500 km 50 % des Preises des Flugscheins oder</w:t>
      </w:r>
    </w:p>
    <w:p>
      <w:r>
        <w:t xml:space="preserve">c) bei allen nicht unter Buchstabe a) oder b) fallenden Flügen, einschließlich Flügen zwischen dem europäischen Hoheitsgebiet der Mitgliedstaaten und den französischen überseeischen Departements, 75 % des Preises des Flugscheins.</w:t>
      </w:r>
    </w:p>
    <w:p>
      <w:r>
        <w:rPr>
          <w:color w:val="555555"/>
          <w:sz w:val="17"/>
        </w:rPr>
        <w:t xml:space="preserve">Zitiervorschlag: Art 10 FluggastrechteVO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