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FluggastrechteVO — Gegenstand</w:t>
      </w:r>
    </w:p>
    <w:p>
      <w:r>
        <w:rPr>
          <w:color w:val="555555"/>
          <w:sz w:val="18"/>
        </w:rPr>
        <w:t xml:space="preserve">FluggastrechteVO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Durch diese Verordnung werden unter den in ihr genannten Bedingungen Mindestrechte für Fluggäste in folgenden Fällen festgelegt:</w:t>
      </w:r>
    </w:p>
    <w:p>
      <w:r>
        <w:t xml:space="preserve">a) Nichtbeförderung gegen ihren Willen,</w:t>
      </w:r>
    </w:p>
    <w:p>
      <w:r>
        <w:t xml:space="preserve">b) Annullierung des Flugs,</w:t>
      </w:r>
    </w:p>
    <w:p>
      <w:r>
        <w:t xml:space="preserve">c) Verspätung des Flugs.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1 FluggastrechteVO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https://recht.nulegal.eu/gesetze/FluggastrechteVO/1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