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FlugfunkV 2008 — Prüfung</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(1) Die Prüfungsbehörde legt Zeitpunkt und Ort der Prüfung fest und teilt sie dem Bewerber mit. Die Prüfungsbehörde kann Zeitpunkt und Ort der Prüfung auf Antrag des Bewerbers verlegen. Die Prüfung darf frühestens drei Monate vor Erreichen des Mindestalters nach § 3 Nummer 1 abgenommen werden. Einzelheiten veröffentlicht die Bundesnetzagentur in ihrem Amtsblatt.</w:t>
      </w:r>
    </w:p>
    <w:p>
      <w:r>
        <w:t xml:space="preserve">(2) Der Bewerber muss sich vor Beginn der Prüfung durch Vorlage seines Personalausweises oder Reisepasses ausweisen.</w:t>
      </w:r>
    </w:p>
    <w:p>
      <w:r>
        <w:t xml:space="preserve">(3) Die Prüfung besteht aus einem schriftlichen und einem praktischen Teil. Die nachzuweisenden Prüfungsteile ergeben sich aus der Anlage 1.</w:t>
      </w:r>
    </w:p>
    <w:p>
      <w:r>
        <w:t xml:space="preserve">(4) Der Prüfungsausschuss entscheidet über das Ergebnis der Prüfung. Die Prüfung ist bestanden, wenn der Bewerber in allen Teilen ausreichende Kenntnisse und Fertigkeiten nachgewiesen hat. Kann eine einstimmige Entscheidung des Prüfungsausschusses nicht herbeigeführt werden, entscheidet der Vorsitzende des Prüfungsausschusses im Benehmen mit den Beisitzern über das Ergebnis der Prüfung.</w:t>
      </w:r>
    </w:p>
    <w:p>
      <w:r>
        <w:t xml:space="preserve">(5) Bewerber, die in der Prüfung fremde Hilfe oder unerlaubte Hilfsmittel benutzen oder zu täuschen versuchen, können von der Prüfung ausgeschlossen werden. Im Fall des Ausschlusses gilt die Prüfung in allen Teilen als nicht bestanden. Die Entscheidung trifft der Prüfungsausschuss. Vor Beginn der Prüfung sind die Bewerber auf diese Bestimmung hinzuweisen.</w:t>
      </w:r>
    </w:p>
    <w:p>
      <w:r>
        <w:t xml:space="preserve">(6) Das beantragte Flugfunkzeugnis wird nach bestandener Prüfung durch Aushändigung erteilt.</w:t>
      </w:r>
    </w:p>
    <w:p>
      <w:r>
        <w:t xml:space="preserve">(7) Der Vorsitzende des Prüfungsausschusses kann Personen, die ein berechtigtes Interesse nachweisen, die Anwesenheit bei der Prüfung gestatten.</w:t>
      </w:r>
    </w:p>
    <w:p>
      <w:r>
        <w:rPr>
          <w:color w:val="555555"/>
          <w:sz w:val="17"/>
        </w:rPr>
        <w:t xml:space="preserve">Zitiervorschlag: § 8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