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FlugfunkV 2008 — Zulassung zur Prüfung</w:t>
      </w:r>
    </w:p>
    <w:p>
      <w:r>
        <w:rPr>
          <w:color w:val="555555"/>
          <w:sz w:val="18"/>
        </w:rPr>
        <w:t xml:space="preserve">Verordnung über Flugfunkzeugnisse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Zulassung zur Prüfung entscheidet die Prüfungsbehörde. Die Zulassung zur Prüfung erfolgt, wenn</w:t>
      </w:r>
    </w:p>
    <w:p>
      <w:pPr>
        <w:ind w:left="420"/>
      </w:pPr>
      <w:r>
        <w:t xml:space="preserve">1. die Voraussetzungen nach § 3 Absatz 1 Nummer 1, 2 und 3 erfüllt sind,</w:t>
      </w:r>
    </w:p>
    <w:p>
      <w:pPr>
        <w:ind w:left="420"/>
      </w:pPr>
      <w:r>
        <w:t xml:space="preserve">2. die Anmeldeunterlagen nach § 5 vollständig sind und</w:t>
      </w:r>
    </w:p>
    <w:p>
      <w:pPr>
        <w:ind w:left="420"/>
      </w:pPr>
      <w:r>
        <w:t xml:space="preserve">3. die Prüfungsgebühren nach § 18 eingegangen sind.</w:t>
      </w:r>
    </w:p>
    <w:p>
      <w:r>
        <w:t xml:space="preserve">(2) Die Prüfungsbehörde kann auf Antrag des Bewerbers auch nach der erfolgten Zulassung nach Absatz 1 die Zulassungsentscheidung auf eine andere Flugfunkzeugnisart ändern. Einzelheiten veröffentlicht die Bundesnetzagentur in ihrem Amtsblatt.</w:t>
      </w:r>
    </w:p>
    <w:p>
      <w:r>
        <w:rPr>
          <w:color w:val="555555"/>
          <w:sz w:val="17"/>
        </w:rPr>
        <w:t xml:space="preserve">Zitiervorschlag: § 6 FlugfunkV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https://recht.nulegal.eu/gesetze/FlugfunkV%202008/6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