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FlugfunkV 2008 — Voraussetzungen für den Erwerb von Flugfunkzeugnissen</w:t>
      </w:r>
    </w:p>
    <w:p>
      <w:r>
        <w:rPr>
          <w:color w:val="555555"/>
          <w:sz w:val="18"/>
        </w:rPr>
        <w:t xml:space="preserve">Verordnung über Flugfunkzeugnisse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Voraussetzungen für den Erwerb von Flugfunkzeugnissen sind:</w:t>
      </w:r>
    </w:p>
    <w:p>
      <w:pPr>
        <w:ind w:left="420"/>
      </w:pPr>
      <w:r>
        <w:t xml:space="preserve">1. die Vollendung</w:t>
      </w:r>
    </w:p>
    <w:p>
      <w:pPr>
        <w:ind w:left="780"/>
      </w:pPr>
      <w:r>
        <w:t xml:space="preserve">a) des 15. Lebensjahres für das BZF II, das BZF I und das BZF E,</w:t>
      </w:r>
    </w:p>
    <w:p>
      <w:pPr>
        <w:ind w:left="780"/>
      </w:pPr>
      <w:r>
        <w:t xml:space="preserve">b) des 18. Lebensjahres für das AZF und das AZF E,</w:t>
      </w:r>
    </w:p>
    <w:p>
      <w:pPr>
        <w:ind w:left="420"/>
      </w:pPr>
      <w:r>
        <w:t xml:space="preserve">2. für das AZF das Innehaben des BZF I oder BZF II,</w:t>
      </w:r>
    </w:p>
    <w:p>
      <w:pPr>
        <w:ind w:left="420"/>
      </w:pPr>
      <w:r>
        <w:t xml:space="preserve">3. für das AZF E das Innehaben des BZF E und</w:t>
      </w:r>
    </w:p>
    <w:p>
      <w:pPr>
        <w:ind w:left="420"/>
      </w:pPr>
      <w:r>
        <w:t xml:space="preserve">4. das Bestehen der vorgeschriebenen Prüfung.</w:t>
      </w:r>
    </w:p>
    <w:p>
      <w:r>
        <w:rPr>
          <w:color w:val="555555"/>
          <w:sz w:val="17"/>
        </w:rPr>
        <w:t xml:space="preserve">Zitiervorschlag: § 3 FlugfunkV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https://recht.nulegal.eu/gesetze/FlugfunkV%202008/3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