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FlugfunkV 2008 — Inkrafttreten, Außerkrafttreten</w:t>
      </w:r>
    </w:p>
    <w:p>
      <w:r>
        <w:rPr>
          <w:color w:val="555555"/>
          <w:sz w:val="18"/>
        </w:rPr>
        <w:t xml:space="preserve">Verordnung über Flugfunkzeugnisse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30. August 2008 in Kraft, soweit im folgenden Absatz nichts Abweichendes bestimmt ist.</w:t>
      </w:r>
    </w:p>
    <w:p>
      <w:r>
        <w:t xml:space="preserve">(2) § 15 tritt am 29. November 2008 in Kraft.</w:t>
      </w:r>
    </w:p>
    <w:p>
      <w:r>
        <w:rPr>
          <w:color w:val="555555"/>
          <w:sz w:val="17"/>
        </w:rPr>
        <w:t xml:space="preserve">Zitiervorschlag: § 21 FlugfunkV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https://recht.nulegal.eu/gesetze/FlugfunkV%202008/21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