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FlugMechAusbV 2013 — Inkrafttreten, Außerkrafttreten</w:t>
      </w:r>
    </w:p>
    <w:p>
      <w:r>
        <w:rPr>
          <w:color w:val="555555"/>
          <w:sz w:val="18"/>
        </w:rPr>
        <w:t xml:space="preserve">Verordnung über die Berufsausbildung zum Fluggerätmechaniker und zur Fluggerätmechanikerin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2013 in Kraft. Gleichzeitig tritt die Verordnung über die Berufsausbildung zum Fluggerätmechaniker/zur Fluggerätmechanikerin vom 20. Juni 1997 (BGBl. I S. 1465), die durch Artikel 1 der Verordnung vom 18. Mai 2004 (BGBl. I S. 992) geändert worden ist, außer Kraft.</w:t>
      </w:r>
    </w:p>
    <w:p>
      <w:r>
        <w:rPr>
          <w:color w:val="555555"/>
          <w:sz w:val="17"/>
        </w:rPr>
        <w:t xml:space="preserve">Zitiervorschlag: § 14 FlugMechAusbV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https://recht.nulegal.eu/gesetze/FlugMechAusbV%202013/14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