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FlugMechAusbV 2013 — Gewichtungs- und Bestehensregelungen in der Fachrichtung Fertigungstechnik</w:t>
      </w:r>
    </w:p>
    <w:p>
      <w:r>
        <w:rPr>
          <w:color w:val="555555"/>
          <w:sz w:val="18"/>
        </w:rPr>
        <w:t xml:space="preserve">Verordnung über die Berufsausbildung zum Fluggerätmechaniker und zur Fluggerätmechanikerin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Prüfungsbereiche sind wie folgt zu gewichten:</w:t>
      </w:r>
    </w:p>
    <w:p>
      <w:r>
        <w:rPr>
          <w:rFonts w:ascii="Courier New" w:hAnsi="Courier New"/>
          <w:sz w:val="17"/>
        </w:rPr>
        <w:t xml:space="preserve">Montagearbeiten    mit 30 Prozent,</w:t>
      </w:r>
    </w:p>
    <w:p>
      <w:r>
        <w:rPr>
          <w:rFonts w:ascii="Courier New" w:hAnsi="Courier New"/>
          <w:sz w:val="17"/>
        </w:rPr>
        <w:t xml:space="preserve">Fertigungsauftrag    mit 30 Prozent,</w:t>
      </w:r>
    </w:p>
    <w:p>
      <w:r>
        <w:rPr>
          <w:rFonts w:ascii="Courier New" w:hAnsi="Courier New"/>
          <w:sz w:val="17"/>
        </w:rPr>
        <w:t xml:space="preserve">Fertigungs- und Instandhaltungstechnik    mit 15 Prozent,</w:t>
      </w:r>
    </w:p>
    <w:p>
      <w:r>
        <w:rPr>
          <w:rFonts w:ascii="Courier New" w:hAnsi="Courier New"/>
          <w:sz w:val="17"/>
        </w:rPr>
        <w:t xml:space="preserve">Fluggerättechnik    mit 15 Prozent,</w:t>
      </w:r>
    </w:p>
    <w:p>
      <w:r>
        <w:rPr>
          <w:rFonts w:ascii="Courier New" w:hAnsi="Courier New"/>
          <w:sz w:val="17"/>
        </w:rPr>
        <w:t xml:space="preserve">Wirtschafts- und Sozialkunde    mit 10 Prozent.</w:t>
      </w:r>
    </w:p>
    <w:p>
      <w:pPr>
        <w:ind w:left="420"/>
      </w:pPr>
      <w:r>
        <w:t xml:space="preserve">5. (2) Die Abschlussprüfung ist bestanden, wenn die Leistungen wie folgt bewertet worden sind:</w:t>
      </w:r>
    </w:p>
    <w:p>
      <w:pPr>
        <w:ind w:left="420"/>
      </w:pPr>
      <w:r>
        <w:t xml:space="preserve">1. im Gesamtergebnis von Teil 1 und Teil 2 der Abschlussprüfung mit mindestens „ausreichend“,</w:t>
      </w:r>
    </w:p>
    <w:p>
      <w:pPr>
        <w:ind w:left="420"/>
      </w:pPr>
      <w:r>
        <w:t xml:space="preserve">2. im Prüfungsbereich nach Absatz 1 Nummer 2 mit mindestens „ausreichend“,</w:t>
      </w:r>
    </w:p>
    <w:p>
      <w:pPr>
        <w:ind w:left="420"/>
      </w:pPr>
      <w:r>
        <w:t xml:space="preserve">3. in zwei der Prüfungsbereiche nach Absatz 1 Nummer 3 bis 5 mit mindestens „ausreichend“ und</w:t>
      </w:r>
    </w:p>
    <w:p>
      <w:pPr>
        <w:ind w:left="420"/>
      </w:pPr>
      <w:r>
        <w:t xml:space="preserve">4. in keinem Prüfungsbereich von Teil 2 der Abschlussprüfung mit „ungenügend“.</w:t>
      </w:r>
    </w:p>
    <w:p>
      <w:r>
        <w:t xml:space="preserve">(3) Auf Antrag des Prüflings ist die Prüfung in einem der Prüfungsbereiche Fertigungs- und Instandhaltungstechnik, Fluggerättechnik oder Wirtschafts- und Sozialkunde durch eine mündliche Prüfung von etwa 15 Minuten zu ergänzen, wenn</w:t>
      </w:r>
    </w:p>
    <w:p>
      <w:pPr>
        <w:ind w:left="420"/>
      </w:pPr>
      <w:r>
        <w:t xml:space="preserve">1. der Prüfungsbereich schlechter als „ausreichend“ bewertet worden ist und</w:t>
      </w:r>
    </w:p>
    <w:p>
      <w:pPr>
        <w:ind w:left="420"/>
      </w:pPr>
      <w:r>
        <w:t xml:space="preserve">2. die mündliche Ergänzungsprüfung für das Bestehen der Abschlussprüfung den Ausschlag geben kann.</w:t>
      </w:r>
    </w:p>
    <w:p>
      <w:r>
        <w:t xml:space="preserve">Bei der Ermittlung des Ergebnisses für diesen Prüfungsbereich sind das bisherige Ergebnis und das Ergebnis der mündlichen Ergänzungsprüfung im Verhältnis von 2:1 zu gewichten.</w:t>
      </w:r>
    </w:p>
    <w:p>
      <w:r>
        <w:rPr>
          <w:color w:val="555555"/>
          <w:sz w:val="17"/>
        </w:rPr>
        <w:t xml:space="preserve">Zitiervorschlag: § 11 FlugMechAusbV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https://recht.nulegal.eu/gesetze/FlugMechAusbV%202013/11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