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FlugMechAusbV 2013 — Staatliche Anerkennung des Ausbildungsberufes</w:t>
      </w:r>
    </w:p>
    <w:p>
      <w:r>
        <w:rPr>
          <w:color w:val="555555"/>
          <w:sz w:val="18"/>
        </w:rPr>
        <w:t xml:space="preserve">Verordnung über die Berufsausbildung zum Fluggerätmechaniker und zur Fluggerätmechanikerin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Ausbildungsberuf des Fluggerätmechanikers und der Fluggerätmechanikerin wird nach § 4 Absatz 1 des Berufsbildungsgesetzes staatlich anerkannt.</w:t>
      </w:r>
    </w:p>
    <w:p>
      <w:r>
        <w:rPr>
          <w:color w:val="555555"/>
          <w:sz w:val="17"/>
        </w:rPr>
        <w:t xml:space="preserve">Zitiervorschlag: § 1 FlugMechAusbV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https://recht.nulegal.eu/gesetze/FlugMechAusbV%202013/1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