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FlugLSV 3 — Entschädigung bei schutzbedürftigen Einrichtungen</w:t>
      </w:r>
    </w:p>
    <w:p>
      <w:r>
        <w:rPr>
          <w:color w:val="555555"/>
          <w:sz w:val="18"/>
        </w:rPr>
        <w:t xml:space="preserve">Fluglärm-Außenwohnbereichsentschädigungs-Verordnung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einer schutzbedürftigen Einrichtung mit Außenwohnbereich beläuft sich die Höhe der Entschädigung pauschal für im Isophonen-Band 1 oder 2 gelegene Grundstücke auf den in § 5 Absatz 1 Nummer 1 oder Nummer 2 jeweils genannten Betrag.</w:t>
      </w:r>
    </w:p>
    <w:p>
      <w:r>
        <w:t xml:space="preserve">(2) Bei einer schutzbedürftigen Einrichtung mit Wohnnutzung erhöht sich die Entschädigung pauschal gegenüber Absatz 1</w:t>
      </w:r>
    </w:p>
    <w:p>
      <w:pPr>
        <w:ind w:left="420"/>
      </w:pPr>
      <w:r>
        <w:t xml:space="preserve">1. mit jeder abgeschlossenen Wohnung um den in § 5 Absatz 3 Nummer 1 oder Nummer 2 genannten Betrag,</w:t>
      </w:r>
    </w:p>
    <w:p>
      <w:pPr>
        <w:ind w:left="420"/>
      </w:pPr>
      <w:r>
        <w:t xml:space="preserve">2. mit jedem Einzel-, Doppel- oder Mehrbettzimmer um die Hälfte des in § 5 Absatz 3 Nummer 1 oder Nummer 2 genannten Betrages.</w:t>
      </w:r>
    </w:p>
    <w:p>
      <w:r>
        <w:t xml:space="preserve">(3) Bei einer schutzbedürftigen Einrichtung ohne Wohnnutzung erhöht sich die Entschädigung pauschal gegenüber Absatz 1 mit jedem dauerhaft genutzten Gruppen- oder Gemeinschaftsraum um den in § 5 Absatz 3 Nummer 1 oder Nummer 2 genannten Betrag.</w:t>
      </w:r>
    </w:p>
    <w:p>
      <w:r>
        <w:t xml:space="preserve">(4) Im Übrigen gelten für schutzbedürftige Einrichtungen mit Außenwohnbereich die §§ 6 bis 8 entsprechend.</w:t>
      </w:r>
    </w:p>
    <w:p>
      <w:r>
        <w:rPr>
          <w:color w:val="555555"/>
          <w:sz w:val="17"/>
        </w:rPr>
        <w:t xml:space="preserve">Zitiervorschlag: § 9 FlugLSV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