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FlugLSV 3 — Entschädigung in besonderen Fällen</w:t>
      </w:r>
    </w:p>
    <w:p>
      <w:r>
        <w:rPr>
          <w:color w:val="555555"/>
          <w:sz w:val="18"/>
        </w:rPr>
        <w:t xml:space="preserve">Fluglärm-Außenwohnbereichsentschädigungs-Verordnung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Wohnungen kann abweichend von den §§ 5 bis 7 eine höhere oder niedrigere Entschädigung festgesetzt werden, wenn aufgrund besonderer Umstände des Einzelfalls eine deutlich abweichende Höhe der Entschädigung angemessen ist.</w:t>
      </w:r>
    </w:p>
    <w:p>
      <w:r>
        <w:t xml:space="preserve">(2) Bereits früher für fluglärmbedingte Beeinträchtigungen des Außenwohnbereichs geleistete Entschädigungen sind auf die Entschädigung nach dieser Verordnung in voller Höhe anzurechnen.</w:t>
      </w:r>
    </w:p>
    <w:p>
      <w:r>
        <w:t xml:space="preserve">(3) Eine Außenwohnbereichsentschädigung ist nicht zu leisten, sofern Wohnungen auf einem Grundstück zum Abbruch bestimmt sind oder dieser bauordnungsrechtlich angeordnet wird.</w:t>
      </w:r>
    </w:p>
    <w:p>
      <w:r>
        <w:rPr>
          <w:color w:val="555555"/>
          <w:sz w:val="17"/>
        </w:rPr>
        <w:t xml:space="preserve">Zitiervorschlag: § 8 FlugLSV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https://recht.nulegal.eu/gesetze/FlugLSV%203/8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