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FlugLSV 3 — Fluglärmbelastung von Grundstücken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Intensität der Fluglärmbelastung im Sinne dieser Verordnung bestimmt sich nach der Lage des betroffenen Grundstücks in der Tag-Schutzzone 1. Innerhalb der Tag-Schutzzone 1 werden zwei Isophonen-Bänder festgelegt.</w:t>
      </w:r>
    </w:p>
    <w:p>
      <w:r>
        <w:t xml:space="preserve">(2) Das Isophonen-Band 1 umfasst</w:t>
      </w:r>
    </w:p>
    <w:p>
      <w:pPr>
        <w:ind w:left="420"/>
      </w:pPr>
      <w:r>
        <w:t xml:space="preserve">1. bei zivilen Flugplätzen im Sinne des § 2 Absatz 2 Satz 2 Nummer 1 des Gesetzes zum Schutz gegen Fluglärm den Bereich der Tag-Schutzzone 1, in dem der fluglärmbedingte äquivalente Dauerschallpegel für den Tag (LAeq Tag) den Wert von 65 Dezibel (A) überschreitet,</w:t>
      </w:r>
    </w:p>
    <w:p>
      <w:pPr>
        <w:ind w:left="420"/>
      </w:pPr>
      <w:r>
        <w:t xml:space="preserve">2. bei militärischen Flugplätzen im Sinne des § 2 Absatz 2 Satz 2 Nummer 3 des genannten Gesetzes den Bereich der Tag-Schutzzone 1, in dem der fluglärmbedingte äquivalente Dauerschallpegel für den Tag (LAeq Tag) einen Wert von 68 Dezibel (A) überschreitet.</w:t>
      </w:r>
    </w:p>
    <w:p>
      <w:r>
        <w:t xml:space="preserve">Das Isophonen-Band 2 umfasst jeweils den restlichen Bereich der Tag-Schutzzone 1.</w:t>
      </w:r>
    </w:p>
    <w:p>
      <w:r>
        <w:t xml:space="preserve">(3) Die Isophonen-Bänder 1 und 2 werden nach § 4 der Verordnung über die Datenerfassung und das Berechnungsverfahren für die Festsetzung von Lärmschutzbereichen ermittelt und in Listen und Karten gemäß § 4 Absatz 4 der genannten Verordnung dargestellt. Grundstücke, die in zwei Isophonen-Bändern liegen, werden dem Isophonen-Band 1 zugeordnet.</w:t>
      </w:r>
    </w:p>
    <w:p>
      <w:r>
        <w:rPr>
          <w:color w:val="555555"/>
          <w:sz w:val="17"/>
        </w:rPr>
        <w:t xml:space="preserve">Zitiervorschlag: § 4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