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FlugLSV 3 — Inkrafttreten</w:t>
      </w:r>
    </w:p>
    <w:p>
      <w:r>
        <w:rPr>
          <w:color w:val="555555"/>
          <w:sz w:val="18"/>
        </w:rPr>
        <w:t xml:space="preserve">Fluglärm-Außenwohnbereichsentschädigungs-Verordnung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FlugLSV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https://recht.nulegal.eu/gesetze/FlugLSV%203/11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