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FlugLSV 3 — Anwendungsbereich</w:t>
      </w:r>
    </w:p>
    <w:p>
      <w:r>
        <w:rPr>
          <w:color w:val="555555"/>
          <w:sz w:val="18"/>
        </w:rPr>
        <w:t xml:space="preserve">Fluglärm-Außenwohnbereichsentschädigungs-Verordnung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 Verordnung gilt für Grundstücke, auf denen bei Festsetzung des Lärmschutzbereichs für einen neuen oder wesentlich baulich erweiterten Flugplatz im Sinne des § 2 Absatz 2 Satz 2 Nummer 1 und 3 des Gesetzes zum Schutz gegen Fluglärm Wohnungen oder schutzbedürftige Einrichtungen nach § 5 Absatz 1 Satz 1 und 2 des genannten Gesetzes zulässigerweise errichtet sind oder zulässigerweise gemäß § 5 Absatz 4 des genannten Gesetzes errichtet werden dürfen und die in der Tag-Schutzzone 1 des Flugplatzes gelegen sind. Für diese Grundstücke enthält sie nähere Bestimmungen über die Entschädigung für Beeinträchtigungen des Außenwohnbereichs nach § 9 Absatz 5 des genannten Gesetzes.</w:t>
      </w:r>
    </w:p>
    <w:p>
      <w:r>
        <w:t xml:space="preserve">(2) Entschädigungsansprüche nach anderen öffentlich-rechtlichen Vorschriften bleiben unberührt.</w:t>
      </w:r>
    </w:p>
    <w:p>
      <w:r>
        <w:rPr>
          <w:color w:val="555555"/>
          <w:sz w:val="17"/>
        </w:rPr>
        <w:t xml:space="preserve">Zitiervorschlag: § 1 FlugLSV 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https://recht.nulegal.eu/gesetze/FlugLSV%203/1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