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FlugLSV 2</w:t>
      </w:r>
    </w:p>
    <w:p>
      <w:r>
        <w:rPr>
          <w:color w:val="555555"/>
          <w:sz w:val="18"/>
        </w:rPr>
        <w:t xml:space="preserve">Flugplatz-Schallschutzmaßnahmenverordnung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2 und der §§ 7 und 9 Absatz 4 Satz 2 des Gesetzes zum Schutz gegen Fluglärm in der Fassung der Bekanntmachung vom 31. Oktober 2007 (BGBl. I S. 2550), hinsichtlich des § 3 Absatz 2 und des § 7 nach Anhörung der beteiligten Kreise, verordnet die Bundesregierung:</w:t>
      </w:r>
    </w:p>
    <w:p>
      <w:r>
        <w:rPr>
          <w:color w:val="555555"/>
          <w:sz w:val="17"/>
        </w:rPr>
        <w:t xml:space="preserve">Zitiervorschlag: Eingangsformel FlugLSV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