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FlugLSV 2 — Inkrafttreten, Außerkrafttreten</w:t>
      </w:r>
    </w:p>
    <w:p>
      <w:r>
        <w:rPr>
          <w:color w:val="555555"/>
          <w:sz w:val="18"/>
        </w:rPr>
        <w:t xml:space="preserve">Flugplatz-Schallschutzmaßnahmenverordnung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FlugLSV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