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FlugLSV 2 — Zugänglichkeit der Normblätter</w:t>
      </w:r>
    </w:p>
    <w:p>
      <w:r>
        <w:rPr>
          <w:color w:val="555555"/>
          <w:sz w:val="18"/>
        </w:rPr>
        <w:t xml:space="preserve">Flugplatz-Schallschutzmaßnahmenverordnung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DIN-Normen, auf die in dieser Verordnung verwiesen wird, sind bei der Beuth Verlag GmbH, Berlin, zu beziehen und beim Deutschen Patent- und Markenamt in München archivmäßig gesichert niedergelegt.</w:t>
      </w:r>
    </w:p>
    <w:p>
      <w:r>
        <w:rPr>
          <w:color w:val="555555"/>
          <w:sz w:val="17"/>
        </w:rPr>
        <w:t xml:space="preserve">Zitiervorschlag: § 6 FlugLSV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