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FlugLSV 2 — Einhaltung der Anforderungen</w:t>
      </w:r>
    </w:p>
    <w:p>
      <w:r>
        <w:rPr>
          <w:color w:val="555555"/>
          <w:sz w:val="18"/>
        </w:rPr>
        <w:t xml:space="preserve">Flugplatz-Schallschutzmaßnahmenverordnung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Anforderungen nach § 3 gelten vorbehaltlich des § 3 Absatz 5 Satz 2 bis 4 für Aufenthaltsräume in Wohngebäuden als eingehalten, wenn die in Tabelle 10 der DIN 4109, Ausgabe November 1989, angegebenen Anforderungen an die Bauschalldämm-Maße für die Wand und für das Fenster unter Beachtung der in dieser Tabelle genannten Raumhöhen, Raumtiefen und Fensterflächenanteile jeweils einzeln eingehalten werden.</w:t>
      </w:r>
    </w:p>
    <w:p>
      <w:r>
        <w:t xml:space="preserve">(2) Die bewerteten Bauschalldämm-Maße der einzelnen Umfassungsbauteile werden nach den Ausführungsbeispielen in dem Beiblatt 1 zur DIN 4109, Ausgabe November 1989, bestimmt. Entsprechen die Umfassungsbauteile nicht den Ausführungsbeispielen, ist für die Bestimmung der Bauschalldämm-Maße auf die Erkenntnisse nach dem Stand der Schallschutztechnik zurückzugreifen.</w:t>
      </w:r>
    </w:p>
    <w:p>
      <w:r>
        <w:rPr>
          <w:color w:val="555555"/>
          <w:sz w:val="17"/>
        </w:rPr>
        <w:t xml:space="preserve">Zitiervorschlag: § 4 FlugLSV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