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FlugLSV 2 — Aufenthaltsräume</w:t>
      </w:r>
    </w:p>
    <w:p>
      <w:r>
        <w:rPr>
          <w:color w:val="555555"/>
          <w:sz w:val="18"/>
        </w:rPr>
        <w:t xml:space="preserve">Flugplatz-Schallschutzmaßnahmenverordnung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Aufenthaltsräume sind</w:t>
      </w:r>
    </w:p>
    <w:p>
      <w:pPr>
        <w:ind w:left="420"/>
      </w:pPr>
      <w:r>
        <w:t xml:space="preserve">1. in Wohnungen: Wohnräume einschließlich Wohndielen, Wohnküchen und Arbeitsräume sowie Räume, die in nicht nur unwesentlichem Umfang zum Schlafen genutzt werden (Schlafräume), das heißt Schlafzimmer sowie Kinder- und Jugendzimmer;</w:t>
      </w:r>
    </w:p>
    <w:p>
      <w:pPr>
        <w:ind w:left="420"/>
      </w:pPr>
      <w:r>
        <w:t xml:space="preserve">2. in Erholungsheimen, Altenheimen, Krankenhäusern und ähnlichen in gleichem Maße schutzbedürftigen Einrichtungen: Wohn- und Schlafräume einschließlich Übernachtungs- und Bettenräume, Gemeinschaftsräume sowie Untersuchungs-, Behandlungs- und Operationsräume;</w:t>
      </w:r>
    </w:p>
    <w:p>
      <w:pPr>
        <w:ind w:left="420"/>
      </w:pPr>
      <w:r>
        <w:t xml:space="preserve">3. in Kindergärten, Schulen und ähnlichen in gleichem Maße schutzbedürftigen Einrichtungen: Gemeinschaftsräume, Unterrichts- und Vortragsräume, Leseräume in Bibliotheken sowie wissenschaftliche Arbeitsräume.</w:t>
      </w:r>
    </w:p>
    <w:p>
      <w:r>
        <w:rPr>
          <w:color w:val="555555"/>
          <w:sz w:val="17"/>
        </w:rPr>
        <w:t xml:space="preserve">Zitiervorschlag: § 2 FlugLSV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