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FlugLSV 1 — Inkrafttreten</w:t>
      </w:r>
    </w:p>
    <w:p>
      <w:r>
        <w:rPr>
          <w:color w:val="555555"/>
          <w:sz w:val="18"/>
        </w:rPr>
        <w:t xml:space="preserve">Verordnung über die Datenerfassung und das Berechnungsverfahren für die Festsetzung von Lärmschutzbereichen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30. Dezember 2008 in Kraft.</w:t>
      </w:r>
    </w:p>
    <w:p>
      <w:r>
        <w:rPr>
          <w:color w:val="555555"/>
          <w:sz w:val="17"/>
        </w:rPr>
        <w:t xml:space="preserve">Zitiervorschlag: § 6 FlugLSV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