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FlugLSV 1 — Anwendungsbereich</w:t>
      </w:r>
    </w:p>
    <w:p>
      <w:r>
        <w:rPr>
          <w:color w:val="555555"/>
          <w:sz w:val="18"/>
        </w:rPr>
        <w:t xml:space="preserve">Verordnung über die Datenerfassung und das Berechnungsverfahren für die Festsetzung von Lärmschutzbereichen</w:t>
      </w:r>
    </w:p>
    <w:p>
      <w:r>
        <w:rPr>
          <w:color w:val="555555"/>
          <w:sz w:val="18"/>
        </w:rPr>
        <w:t xml:space="preserve">Stand: 10.06.2019 (konsolidierte Textfassung, kein amtliches Inkrafttretensdatum)</w:t>
      </w:r>
    </w:p>
    <w:p>
      <w:r>
        <w:t xml:space="preserve">Diese Verordnung gilt für die Festsetzung von Lärmschutzbereichen nach dem Gesetz zum Schutz gegen Fluglärm. Sie regelt Anforderungen an die zur Ermittlung der Lärmbelastung erforderliche Datenerfassung über den voraussehbaren Flugbetrieb sowie an das Berechnungsverfahren für die Ermittlung der Lärmbelastung.</w:t>
      </w:r>
    </w:p>
    <w:p>
      <w:r>
        <w:rPr>
          <w:color w:val="555555"/>
          <w:sz w:val="17"/>
        </w:rPr>
        <w:t xml:space="preserve">Zitiervorschlag: § 1 FlugLSV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https://recht.nulegal.eu/gesetze/FlugLSV%201/1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