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 FlugElekAusbV 2013 — Staatliche Anerkennung des Ausbildungsberufes</w:t>
      </w:r>
    </w:p>
    <w:p>
      <w:r>
        <w:rPr>
          <w:color w:val="555555"/>
          <w:sz w:val="18"/>
        </w:rPr>
        <w:t xml:space="preserve">Verordnung über die Berufsausbildung zum Fluggerätelektroniker und zur Fluggerätelektronikerin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Ausbildungsberuf des Fluggerätelektronikers und der Fluggerätelektronikerin wird nach § 4 Absatz 1 des Berufsbildungsgesetzes staatlich anerkannt.</w:t>
      </w:r>
    </w:p>
    <w:p>
      <w:r>
        <w:rPr>
          <w:color w:val="555555"/>
          <w:sz w:val="17"/>
        </w:rPr>
        <w:t xml:space="preserve">Zitiervorschlag: § 1 FlugElekAusbV 2013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https://recht.nulegal.eu/gesetze/FlugElekAusbV%202013/1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 FlugElekAusbV 2013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