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FlugDaG — Datenübermittlung an die zuständigen Behörden im Inland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 zur Erfüllung von deren Aufgaben zur Verhütung oder Verfolgung von Straftaten nach § 4 Absatz 1 erforderlich ist, kann die Fluggastdatenzentralstelle die aus einem Abgleich nach § 4 Absatz 2 oder Absatz 5 resultierenden Fluggastdaten und die Ergebnisse der Verarbeitung dieser Daten zur weiteren Überprüfung oder zur Veranlassung geeigneter Maßnahmen übermitteln an</w:t>
      </w:r>
    </w:p>
    <w:p>
      <w:pPr>
        <w:ind w:left="420"/>
      </w:pPr>
      <w:r>
        <w:t xml:space="preserve">1. das Bundeskriminalamt,</w:t>
      </w:r>
    </w:p>
    <w:p>
      <w:pPr>
        <w:ind w:left="420"/>
      </w:pPr>
      <w:r>
        <w:t xml:space="preserve">2. die Landeskriminalämter,</w:t>
      </w:r>
    </w:p>
    <w:p>
      <w:pPr>
        <w:ind w:left="420"/>
      </w:pPr>
      <w:r>
        <w:t xml:space="preserve">3. die Zollverwaltung sowie</w:t>
      </w:r>
    </w:p>
    <w:p>
      <w:pPr>
        <w:ind w:left="420"/>
      </w:pPr>
      <w:r>
        <w:t xml:space="preserve">4. die Bundespolizei.</w:t>
      </w:r>
    </w:p>
    <w:p>
      <w:r>
        <w:t xml:space="preserve">Die Übermittlung von Daten, die aus einem Abgleich nach § 4 Absatz 5 resultieren, an eine andere als an die ersuchende Behörde erfolgt nur im Einvernehmen mit der ersuchenden Behörde.</w:t>
      </w:r>
    </w:p>
    <w:p>
      <w:r>
        <w:t xml:space="preserve">(2) Soweit dies zur Erfüllung von deren Aufgaben im Zusammenhang mit Straftaten nach § 4 Absatz 1 erforderlich ist, kann die Fluggastdatenzentralstelle die aus einem Abgleich nach § 4 Absatz 2 oder Absatz 5 resultierenden Fluggastdaten und die Ergebnisse der Verarbeitung dieser Daten zudem übermitteln an</w:t>
      </w:r>
    </w:p>
    <w:p>
      <w:pPr>
        <w:ind w:left="420"/>
      </w:pPr>
      <w:r>
        <w:t xml:space="preserve">1. das Bundesamt für Verfassungsschutz und die Verfassungsschutzbehörden der Länder,</w:t>
      </w:r>
    </w:p>
    <w:p>
      <w:pPr>
        <w:ind w:left="420"/>
      </w:pPr>
      <w:r>
        <w:t xml:space="preserve">2. den Militärischen Abschirmdienst sowie</w:t>
      </w:r>
    </w:p>
    <w:p>
      <w:pPr>
        <w:ind w:left="420"/>
      </w:pPr>
      <w:r>
        <w:t xml:space="preserve">3. den Bundesnachrichtendienst.</w:t>
      </w:r>
    </w:p>
    <w:p>
      <w:r>
        <w:t xml:space="preserve">Absatz 1 Satz 2 gilt entsprechend.</w:t>
      </w:r>
    </w:p>
    <w:p>
      <w:r>
        <w:t xml:space="preserve">(3) Die in Absatz 1 Satz 1 und Absatz 2 Satz 1 genannten Behörden dürfen die übermittelten Daten nur zu den Zwecken, zu denen sie ihnen übermittelt worden sind, verarbeiten.</w:t>
      </w:r>
    </w:p>
    <w:p>
      <w:r>
        <w:t xml:space="preserve">(4) Die in Absatz 1 Satz 1 genannten Behörden können, soweit sie Aufgaben der Strafverfolgung wahrnehmen, die übermittelten Daten zu anderen Zwecken verarbeiten, wenn Erkenntnisse, auch unter Einbezug weiterer Informationen, den Verdacht einer bestimmten anderen Straftat begründen.</w:t>
      </w:r>
    </w:p>
    <w:p>
      <w:r>
        <w:rPr>
          <w:color w:val="555555"/>
          <w:sz w:val="17"/>
        </w:rPr>
        <w:t xml:space="preserve">Zitiervorschlag: § 6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