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FlugDaG — Depersonalisierung von Daten</w:t>
      </w:r>
    </w:p>
    <w:p>
      <w:r>
        <w:rPr>
          <w:color w:val="555555"/>
          <w:sz w:val="18"/>
        </w:rPr>
        <w:t xml:space="preserve">Fluggastdatengesetz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Ablauf von sechs Monaten ab Übermittlung der Fluggastdaten an die Fluggastdatenzentralstelle werden die Fluggastdaten durch Unkenntlichmachung der folgenden Datenelemente, mit denen die Identität einer Person nach § 2 Absatz 1 festgestellt werden könnte, von der Fluggastdatenzentralstelle depersonalisiert:</w:t>
      </w:r>
    </w:p>
    <w:p>
      <w:pPr>
        <w:ind w:left="420"/>
      </w:pPr>
      <w:r>
        <w:t xml:space="preserve">1. Namensangaben nach § 2 Absatz 2 Nummer 1 und 9 sowie die Anzahl und die Namensangaben der erfassten Mitreisenden nach § 2 Absatz 2 Nummer 19,</w:t>
      </w:r>
    </w:p>
    <w:p>
      <w:pPr>
        <w:ind w:left="420"/>
      </w:pPr>
      <w:r>
        <w:t xml:space="preserve">2. Anschrift und Kontaktangaben nach § 2 Absatz 2 Nummer 5,</w:t>
      </w:r>
    </w:p>
    <w:p>
      <w:pPr>
        <w:ind w:left="420"/>
      </w:pPr>
      <w:r>
        <w:t xml:space="preserve">3. alle Arten von Zahlungsinformationen, einschließlich der Rechnungsanschrift, nach § 2 Absatz 2 Nummer 10, die zur Feststellung der Identität des Fluggastes oder anderer Personen beitragen könnten,</w:t>
      </w:r>
    </w:p>
    <w:p>
      <w:pPr>
        <w:ind w:left="420"/>
      </w:pPr>
      <w:r>
        <w:t xml:space="preserve">4. Angaben zum Vielflieger-Eintrag nach § 2 Absatz 2 Nummer 12,</w:t>
      </w:r>
    </w:p>
    <w:p>
      <w:pPr>
        <w:ind w:left="420"/>
      </w:pPr>
      <w:r>
        <w:t xml:space="preserve">5. allgemeine Hinweise nach § 2 Absatz 2 Nummer 16, die zur Feststellung der Identität des Fluggastes beitragen könnten und</w:t>
      </w:r>
    </w:p>
    <w:p>
      <w:pPr>
        <w:ind w:left="420"/>
      </w:pPr>
      <w:r>
        <w:t xml:space="preserve">6. Daten nach § 2 Absatz 2 Nummer 8.</w:t>
      </w:r>
    </w:p>
    <w:p>
      <w:r>
        <w:t xml:space="preserve">(2) Die Aufhebung der Depersonalisierung von Fluggastdaten durch die Fluggastdatenzentralstelle ist nur zulässig, wenn die Aufhebung</w:t>
      </w:r>
    </w:p>
    <w:p>
      <w:pPr>
        <w:ind w:left="420"/>
      </w:pPr>
      <w:r>
        <w:t xml:space="preserve">1. im Fall eines Abgleichs nach § 4 Absatz 5 Satz 1 zur Verhütung oder Verfolgung von Straftaten nach § 4 Absatz 1 erforderlich ist und</w:t>
      </w:r>
    </w:p>
    <w:p>
      <w:pPr>
        <w:ind w:left="420"/>
      </w:pPr>
      <w:r>
        <w:t xml:space="preserve">2. auf Antrag der Leitung der Fluggastdatenzentralstelle oder deren Vertretung gerichtlich genehmigt worden ist.</w:t>
      </w:r>
    </w:p>
    <w:p>
      <w:r>
        <w:t xml:space="preserve">Bei Gefahr im Verzug kann die Präsidentin oder der Präsident des Bundeskriminalamtes oder ihre oder seine Vertretung die Genehmigung erteilen. Die gerichtliche Entscheidung ist unverzüglich nachzuholen. Die Sätze 1 bis 3 gelten mit Blick auf die in § 6 Absatz 2 Satz 1 genannten Behörden entsprechend mit der Maßgabe, dass die Aufhebung im Fall eines Abgleichs nach § 4 Absatz 5 Satz 2 zur Erfüllung von deren Aufgaben im Zusammenhang mit Straftaten nach § 4 Absatz 1 erforderlich ist.</w:t>
      </w:r>
    </w:p>
    <w:p>
      <w:r>
        <w:rPr>
          <w:color w:val="555555"/>
          <w:sz w:val="17"/>
        </w:rPr>
        <w:t xml:space="preserve">Zitiervorschlag: § 5 FlugDaG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https://recht.nulegal.eu/gesetze/FlugDaG/5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