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FlugDaG — Bußgeldvorschriften</w:t>
      </w:r>
    </w:p>
    <w:p>
      <w:r>
        <w:rPr>
          <w:color w:val="555555"/>
          <w:sz w:val="18"/>
        </w:rPr>
        <w:t xml:space="preserve">Fluggastdatengesetz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vorsätzlich oder fahrlässig</w:t>
      </w:r>
    </w:p>
    <w:p>
      <w:pPr>
        <w:ind w:left="420"/>
      </w:pPr>
      <w:r>
        <w:t xml:space="preserve">1. entgegen § 2 Absatz 5 Satz 1 in Verbindung mit Absatz 2 Nummer 1 bis 8 dort genannte Fluggastdaten nicht, nicht in der vorgeschriebenen Weise oder nicht rechtzeitig übermittelt oder</w:t>
      </w:r>
    </w:p>
    <w:p>
      <w:pPr>
        <w:ind w:left="420"/>
      </w:pPr>
      <w:r>
        <w:t xml:space="preserve">2. entgegen § 2 Absatz 5 Satz 2 erster Halbsatz in Verbindung mit Absatz 2 Nummer 1 bis 8 dort genannte Fluggastdaten nicht, nicht in der vorgeschriebenen Weise oder nicht rechtzeitig nachmeldet.</w:t>
      </w:r>
    </w:p>
    <w:p>
      <w:r>
        <w:t xml:space="preserve">(2) Die Ordnungswidrigkeit kann mit einer Geldbuße bis zu fünfzigtausend Euro geahndet werden.</w:t>
      </w:r>
    </w:p>
    <w:p>
      <w:r>
        <w:t xml:space="preserve">(3) Verwaltungsbehörde im Sinne des § 36 Absatz 1 Nummer 1 des Gesetzes über Ordnungswidrigkeiten ist das Bundesverwaltungsamt.</w:t>
      </w:r>
    </w:p>
    <w:p>
      <w:r>
        <w:rPr>
          <w:color w:val="555555"/>
          <w:sz w:val="17"/>
        </w:rPr>
        <w:t xml:space="preserve">Zitiervorschlag: § 18 FlugDaG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https://recht.nulegal.eu/gesetze/FlugDaG/18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