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FlugDaG — Geltung des Bundeskriminalamtgesetzes</w:t>
      </w:r>
    </w:p>
    <w:p>
      <w:r>
        <w:rPr>
          <w:color w:val="555555"/>
          <w:sz w:val="18"/>
        </w:rPr>
        <w:t xml:space="preserve">Fluggastdatengesetz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Bundeskriminalamtgesetz findet entsprechende Anwendung, soweit in diesem Gesetz keine spezielleren Regelungen enthalten sind.</w:t>
      </w:r>
    </w:p>
    <w:p>
      <w:r>
        <w:rPr>
          <w:color w:val="555555"/>
          <w:sz w:val="17"/>
        </w:rPr>
        <w:t xml:space="preserve">Zitiervorschlag: § 16 FlugDaG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https://recht.nulegal.eu/gesetze/FlugDaG/16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