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FlugDaG — Protokollierung</w:t>
      </w:r>
    </w:p>
    <w:p>
      <w:r>
        <w:rPr>
          <w:color w:val="555555"/>
          <w:sz w:val="18"/>
        </w:rPr>
        <w:t xml:space="preserve">Fluggastdatengesetz</w:t>
      </w:r>
    </w:p>
    <w:p>
      <w:r>
        <w:rPr>
          <w:color w:val="555555"/>
          <w:sz w:val="18"/>
        </w:rPr>
        <w:t xml:space="preserve">Stand: 10.06.2019 (konsolidierte Textfassung, kein amtliches Inkrafttretensdatum)</w:t>
      </w:r>
    </w:p>
    <w:p>
      <w:r>
        <w:t xml:space="preserve">(1) § 76 des Bundesdatenschutzgesetzes gilt mit der Maßgabe, dass die Protokolle der oder dem Datenschutzbeauftragten der Fluggastdatenzentralstelle oder der nationalen Kontrollstelle in elektronisch auswertbarer Form für die Überprüfung der Rechtmäßigkeit der Datenverarbeitung zur Verfügung stehen.</w:t>
      </w:r>
    </w:p>
    <w:p>
      <w:r>
        <w:t xml:space="preserve">(2) Abweichend von § 76 Absatz 3 des Bundesdatenschutzgesetzes dürfen die Protokolle ausschließlich für die Überprüfung der Rechtmäßigkeit der Datenverarbeitung durch die Datenschutzbeauftragte oder den Datenschutzbeauftragten der Fluggastdatenzentralstelle sowie die nationale Kontrollstelle sowie für die Eigenüberwachung, für die Gewährleistung der Integrität und Sicherheit der personenbezogenen Daten und für Audits verwendet werden.</w:t>
      </w:r>
    </w:p>
    <w:p>
      <w:r>
        <w:t xml:space="preserve">(3) Die Protokolldaten sind fünf Jahre lang aufzubewahren und anschließend zu löschen.</w:t>
      </w:r>
    </w:p>
    <w:p>
      <w:r>
        <w:rPr>
          <w:color w:val="555555"/>
          <w:sz w:val="17"/>
        </w:rPr>
        <w:t xml:space="preserve">Zitiervorschlag: § 14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