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FlugDaG — Datenübermittlung an Drittstaaten</w:t>
      </w:r>
    </w:p>
    <w:p>
      <w:r>
        <w:rPr>
          <w:color w:val="555555"/>
          <w:sz w:val="18"/>
        </w:rPr>
        <w:t xml:space="preserve">Fluggastdatengesetz</w:t>
      </w:r>
    </w:p>
    <w:p>
      <w:r>
        <w:rPr>
          <w:color w:val="555555"/>
          <w:sz w:val="18"/>
        </w:rPr>
        <w:t xml:space="preserve">Stand: 10.06.2019 (konsolidierte Textfassung, kein amtliches Inkrafttretensdatum)</w:t>
      </w:r>
    </w:p>
    <w:p>
      <w:r>
        <w:t xml:space="preserve">(1) Unter Beachtung der §§ 78 bis 80 des Bundesdatenschutzgesetzes kann die Fluggastdatenzentralstelle Fluggastdaten und die Ergebnisse der Verarbeitung dieser Daten im Einzelfall auf Ersuchen an die Behörden von Staaten, die nicht Mitgliedstaaten der Europäischen Union sind (Drittstaaten) übermitteln, wenn</w:t>
      </w:r>
    </w:p>
    <w:p>
      <w:pPr>
        <w:ind w:left="420"/>
      </w:pPr>
      <w:r>
        <w:t xml:space="preserve">1. diese Behörden für die Verhütung oder Verfolgung von terroristischen Straftaten oder schwerer Kriminalität zuständig sind und die Datenübermittlung zu diesem Zweck erforderlich ist und</w:t>
      </w:r>
    </w:p>
    <w:p>
      <w:pPr>
        <w:ind w:left="420"/>
      </w:pPr>
      <w:r>
        <w:t xml:space="preserve">2. sich diese Behörden verpflichten, die Daten nur dann an die Behörden eines anderen Drittstaates zu übermitteln, wenn dies zur Verhütung oder Verfolgung von terroristischen Straftaten oder schwerer Kriminalität erforderlich ist, und vor der Weiterübermittlung die Einwilligung der Fluggastdatenzentralstelle eingeholt wird.</w:t>
      </w:r>
    </w:p>
    <w:p>
      <w:r>
        <w:t xml:space="preserve">§ 5 Absatz 2 gilt entsprechend. Die Vorschriften über die internationale Rechtshilfe in strafrechtlichen Angelegenheiten bleiben unberührt.</w:t>
      </w:r>
    </w:p>
    <w:p>
      <w:r>
        <w:t xml:space="preserve">(2) Die Fluggastdatenzentralstelle kann die Fluggastdaten eines anderen Mitgliedstaates unter den Voraussetzungen des Absatzes 1 an die Behörden von Drittstaaten übermitteln, wenn die Fluggastdatenzentralstelle dieses Mitgliedstaates in die Übermittlung einwilligt. Liegt keine Einwilligung vor, ist die Übermittlung nur dann zulässig, wenn</w:t>
      </w:r>
    </w:p>
    <w:p>
      <w:pPr>
        <w:ind w:left="420"/>
      </w:pPr>
      <w:r>
        <w:t xml:space="preserve">1. die Übermittlung erforderlich ist, um eine gegenwärtige Gefahr durch terroristische Straftaten oder schwere Kriminalität in einem Mitgliedstaat oder einem Drittstaat abzuwehren und</w:t>
      </w:r>
    </w:p>
    <w:p>
      <w:pPr>
        <w:ind w:left="420"/>
      </w:pPr>
      <w:r>
        <w:t xml:space="preserve">2. die Einwilligung nicht rechtzeitig eingeholt werden kann.</w:t>
      </w:r>
    </w:p>
    <w:p>
      <w:r>
        <w:t xml:space="preserve">Die für die Einwilligung nach Satz 2 zuständige Fluggastdatenzentralstelle ist unverzüglich zu unterrichten.</w:t>
      </w:r>
    </w:p>
    <w:p>
      <w:r>
        <w:t xml:space="preserve">(3) Die Fluggastdatenzentralstelle unterrichtet die Datenschutzbeauftragte oder den Datenschutzbeauftragten der Fluggastdatenzentralstelle über jede Datenübermittlung nach den Absätzen 1 und 2. Die Datenübermittlung nach Absatz 2 Satz 2 ist nachträglich durch die Datenschutzbeauftragte oder den Datenschutzbeauftragten der Fluggastdatenzentralstelle zu überprüfen.</w:t>
      </w:r>
    </w:p>
    <w:p>
      <w:r>
        <w:rPr>
          <w:color w:val="555555"/>
          <w:sz w:val="17"/>
        </w:rPr>
        <w:t xml:space="preserve">Zitiervorschlag: § 10 FlugDaG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https://recht.nulegal.eu/gesetze/FlugDaG/10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