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FlugDaG — Fluggastdatenzentralstelle und Zweck des Fluggastdaten-Informationssystems</w:t>
      </w:r>
    </w:p>
    <w:p>
      <w:r>
        <w:rPr>
          <w:color w:val="555555"/>
          <w:sz w:val="18"/>
        </w:rPr>
        <w:t xml:space="preserve">Fluggastdatengesetz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Bundeskriminalamt ist nationale zentrale Stelle für die Verarbeitung von Fluggastdaten (Fluggastdatenzentralstelle). Die Fluggastdatenzentralstelle unterhält ein Fluggastdaten-Informationssystem nach Maßgabe dieses Gesetzes.</w:t>
      </w:r>
    </w:p>
    <w:p>
      <w:r>
        <w:t xml:space="preserve">(2) Das Fluggastdaten-Informationssystem dient der Verhütung und Verfolgung von terroristischen Straftaten und schwerer Kriminalität.</w:t>
      </w:r>
    </w:p>
    <w:p>
      <w:r>
        <w:t xml:space="preserve">(3) Das Bundesverwaltungsamt verarbeitet Fluggastdaten im Auftrag und nach Weisung der Fluggastdatenzentralstelle.</w:t>
      </w:r>
    </w:p>
    <w:p>
      <w:r>
        <w:rPr>
          <w:color w:val="555555"/>
          <w:sz w:val="17"/>
        </w:rPr>
        <w:t xml:space="preserve">Zitiervorschlag: § 1 FlugDaG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https://recht.nulegal.eu/gesetze/FlugDaG/1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