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FlugBelWertV</w:t>
      </w:r>
    </w:p>
    <w:p>
      <w:r>
        <w:rPr>
          <w:color w:val="555555"/>
          <w:sz w:val="18"/>
        </w:rPr>
        <w:t xml:space="preserve">Flugzeugbeleihungswertermittlungsverordnung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26d Absatz 3 Satz 1 und 2 des Pfandbriefgesetzes, der durch Artikel 1 Nummer 24 des Gesetzes vom 20. März 2009 (BGBl. I S. 607) eingefügt worden ist, verordnet das Bundesministerium der Finanzen im Einvernehmen mit dem Bundesministerium der Justiz nach Anhörung der Spitzenverbände der Kreditwirtschaft:</w:t>
      </w:r>
    </w:p>
    <w:p>
      <w:r>
        <w:rPr>
          <w:color w:val="555555"/>
          <w:sz w:val="17"/>
        </w:rPr>
        <w:t xml:space="preserve">Zitiervorschlag: Eingangsformel FlugBelWertV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https://recht.nulegal.eu/gesetze/FlugBelWertV/eingangsformel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