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FlugBelWertV — Anwendungsbereich</w:t>
      </w:r>
    </w:p>
    <w:p>
      <w:r>
        <w:rPr>
          <w:color w:val="555555"/>
          <w:sz w:val="18"/>
        </w:rPr>
        <w:t xml:space="preserve">Flugzeugbeleihungswertermittlungsverordnung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der Ermittlung der Flugzeugbeleihungswerte nach § 26d Absatz 1 und 2 des Pfandbriefgesetzes und bei der Erhebung der für die Wertermittlung erforderlichen Daten sind die Vorschriften dieser Verordnung anzuwenden.</w:t>
      </w:r>
    </w:p>
    <w:p>
      <w:r>
        <w:rPr>
          <w:color w:val="555555"/>
          <w:sz w:val="17"/>
        </w:rPr>
        <w:t xml:space="preserve">Zitiervorschlag: § 1 FlugBelWertV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https://recht.nulegal.eu/gesetze/FlugBelWertV/1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