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FluLärmV ND (Bayern)</w:t>
      </w:r>
    </w:p>
    <w:p>
      <w:r>
        <w:rPr>
          <w:color w:val="555555"/>
          <w:sz w:val="18"/>
        </w:rPr>
        <w:t xml:space="preserve">Fluglärmschutzverordnung Neuburg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 Abs. 2 Satz 1 des Gesetzes zum Schutz gegen Fluglärm in der Fassung der Bekanntmachung vom 31. Oktober 2007 (BGBl I S. 2550) erlässt die Bayerische Staatsregierung folgende Verordnung:</w:t>
      </w:r>
    </w:p>
    <w:p>
      <w:r>
        <w:rPr>
          <w:color w:val="555555"/>
          <w:sz w:val="17"/>
        </w:rPr>
        <w:t xml:space="preserve">Zitiervorschlag: Eingangsformel FluLärmV 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https://recht.nulegal.eu/gesetze/FluL%C3%A4rmV%20ND/eingangsformel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FluLärmV ND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