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FluLärmV N (Bayern)</w:t>
      </w:r>
    </w:p>
    <w:p>
      <w:r>
        <w:rPr>
          <w:color w:val="555555"/>
          <w:sz w:val="18"/>
        </w:rPr>
        <w:t xml:space="preserve">Fluglärmschutzverordnung Nürnberg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4 Abs. 2 Satz 1 des Gesetzes zum Schutz gegen Fluglärm in der Fassung der Bekanntmachung vom 31. Oktober 2007 (BGBl I S. 2550) erlässt die Bayerische Staatsregierung folgende Verordnung:</w:t>
      </w:r>
    </w:p>
    <w:p>
      <w:r>
        <w:rPr>
          <w:color w:val="555555"/>
          <w:sz w:val="17"/>
        </w:rPr>
        <w:t xml:space="preserve">Zitiervorschlag: Eingangsformel FluLärmV N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https://recht.nulegal.eu/gesetze/FluL%C3%A4rmV%20N/eingangsformel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FluLärmV N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