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FluLärmV MM (Bayern) — Inkrafttreten</w:t>
      </w:r>
    </w:p>
    <w:p>
      <w:r>
        <w:rPr>
          <w:color w:val="555555"/>
          <w:sz w:val="18"/>
        </w:rPr>
        <w:t xml:space="preserve">Fluglärmschutzverordnung Memmingen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Dezember 2012 in Kraft.</w:t>
      </w:r>
    </w:p>
    <w:p>
      <w:r>
        <w:rPr>
          <w:color w:val="555555"/>
          <w:sz w:val="17"/>
        </w:rPr>
        <w:t xml:space="preserve">Zitiervorschlag: § 3 FluLärmV MM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https://recht.nulegal.eu/gesetze/FluL%C3%A4rmV%20MM/3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