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FluLärmV MM (Bayern) — Bauliche Anlagen</w:t>
      </w:r>
    </w:p>
    <w:p>
      <w:r>
        <w:rPr>
          <w:color w:val="555555"/>
          <w:sz w:val="18"/>
        </w:rPr>
        <w:t xml:space="preserve">Fluglärmschutzverordnung Memmingen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Liegt eine bauliche Anlage zu einem Teil in einer der Schutzzonen des § 1 Abs. 2, gilt diese als ganz in dieser Schutzzone gelegen. Liegt eine bauliche Anlage sowohl in der Tag-Schutzzone 1 als auch in der Tag-Schutzzone 2, gilt diese als ganz in der Tag-Schutzzone 1 gelegen.</w:t>
      </w:r>
    </w:p>
    <w:p>
      <w:r>
        <w:rPr>
          <w:color w:val="555555"/>
          <w:sz w:val="17"/>
        </w:rPr>
        <w:t xml:space="preserve">Zitiervorschlag: § 2 FluLärmV MM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https://recht.nulegal.eu/gesetze/FluL%C3%A4rmV%20MM/2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