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FluLärmV MM (Bayern) — Lärmschutzbereich</w:t>
      </w:r>
    </w:p>
    <w:p>
      <w:r>
        <w:rPr>
          <w:color w:val="555555"/>
          <w:sz w:val="18"/>
        </w:rPr>
        <w:t xml:space="preserve">Fluglärmschutzverordnung Memmingen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Flughafen Memmingen wird außerhalb des Flugplatzgeländes ein Lärmschutzbereich nach § 2 des Gesetzes zum Schutz gegen Fluglärm festgesetzt. Die Begrenzungen der Schutzzonen des Lärmschutzbereichs bestimmen sich nach den ohne Glättungsverfahren verbundenen Kurvenpunkten gemäß Abs. 2.</w:t>
      </w:r>
    </w:p>
    <w:p>
      <w:r>
        <w:t xml:space="preserve">(2) Es werden folgende Schutzzonen festgesetzt:</w:t>
      </w:r>
    </w:p>
    <w:p>
      <w:r>
        <w:t xml:space="preserve">1. Tag-Schutzzone 1 nach Anlage 1 ,</w:t>
      </w:r>
    </w:p>
    <w:p>
      <w:r>
        <w:t xml:space="preserve">2. Tag-Schutzzone 2 nach Anlage 2 ,</w:t>
      </w:r>
    </w:p>
    <w:p>
      <w:r>
        <w:t xml:space="preserve">3. Nacht-Schutzzone nach Anlage 3 .</w:t>
      </w:r>
    </w:p>
    <w:p>
      <w:r>
        <w:t xml:space="preserve">(3) Die nach Abs. 1 und 2 bestimmten Schutzzonen sind in drei Übersichtskarten im Maßstab 1:50 000 (in verkleinerter Form als Anlagen 4 bis 6 ) sowie in Detailkarten im Maßstab 1:5 000 dargestellt. Die Karten sind Bestandteil dieser Verordnung. Sie sind beim Amt für Digitalisierung, Breitband und Vermessung Memmingen, Bismarckstraße 1, 87700 Memmingen zu jedermanns Einsicht während der Dienstzeit archivmäßig gesichert niedergelegt. Maßgeblich sind im Zweifel die Begrenzungen nach Abs. 1 Satz 2.</w:t>
      </w:r>
    </w:p>
    <w:p>
      <w:r>
        <w:rPr>
          <w:color w:val="555555"/>
          <w:sz w:val="17"/>
        </w:rPr>
        <w:t xml:space="preserve">Zitiervorschlag: § 1 FluLärmV MM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https://recht.nulegal.eu/gesetze/FluL%C3%A4rmV%20MM/1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FluLärmV MM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