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FluLärmV IN (Bayern)</w:t>
      </w:r>
    </w:p>
    <w:p>
      <w:r>
        <w:rPr>
          <w:color w:val="555555"/>
          <w:sz w:val="18"/>
        </w:rPr>
        <w:t xml:space="preserve">Fluglärmschutzverordnung Ingolstadt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Auf Grund des § 4 Abs. 2 Satz 1 des Gesetzes zum Schutz gegen Fluglärm in der Fassung der Bekanntmachung vom 31. Oktober 2007 (BGBl I S. 2550) erlässt die Bayerische Staatsregierung folgende Verordnung:</w:t>
      </w:r>
    </w:p>
    <w:p>
      <w:r>
        <w:rPr>
          <w:color w:val="555555"/>
          <w:sz w:val="17"/>
        </w:rPr>
        <w:t xml:space="preserve">Zitiervorschlag: Eingangsformel FluLärmV IN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https://recht.nulegal.eu/gesetze/FluL%C3%A4rmV%20IN/eingangsformel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