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FluLärmPadV (Nordrhein-Westfalen)</w:t>
      </w:r>
    </w:p>
    <w:p>
      <w:r>
        <w:rPr>
          <w:color w:val="555555"/>
          <w:sz w:val="18"/>
        </w:rPr>
        <w:t xml:space="preserve">Fluglärmschutzverordnung Paderborn/Lippstadt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Liegt eine bauliche Anlage zu einem Teil im Lärmschutzbereich, so gilt sie als ganz im Lärmschutzbereich gelegen. Liegt eine bauliche Anlage zu einem Teil in der Tag-Schutzzone 1, so gilt sie als ganz in dieser Schutzzone gelegen. Liegt eine bauliche Anlage zu einem Teil in der Nacht-Schutzzone und zu dem anderen Teil in einer der Tag-Schutzzonen, so gilt sie als ganz in der Nacht-Schutzzone gelegen.</w:t>
      </w:r>
    </w:p>
    <w:p>
      <w:r>
        <w:t xml:space="preserve">(2) Auf die Errichtung einer baulichen Anlage ist Absatz 1 entsprechend anzuwenden.</w:t>
      </w:r>
    </w:p>
    <w:p>
      <w:r>
        <w:rPr>
          <w:color w:val="555555"/>
          <w:sz w:val="17"/>
        </w:rPr>
        <w:t xml:space="preserve">Zitiervorschlag: § 3 FluLärmPadV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https://recht.nulegal.eu/gesetze/FluL%C3%A4rmPadV/3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