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FluLärmPadV (Nordrhein-Westfalen)</w:t>
      </w:r>
    </w:p>
    <w:p>
      <w:r>
        <w:rPr>
          <w:color w:val="555555"/>
          <w:sz w:val="18"/>
        </w:rPr>
        <w:t xml:space="preserve">Fluglärmschutzverordnung Paderborn/Lippstadt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Zum Schutz der Allgemeinheit und der Nachbarschaft vor Gefahren, erheblichen Nachteilen und erheblichen Belästigungen durch Fluglärm in der Umgebung des Verkehrsflughafens Paderborn/Lippstadt wird der in § 2 bestimmte Lärmschutzbereich festgesetzt.</w:t>
      </w:r>
    </w:p>
    <w:p>
      <w:r>
        <w:rPr>
          <w:color w:val="555555"/>
          <w:sz w:val="17"/>
        </w:rPr>
        <w:t xml:space="preserve">Zitiervorschlag: § 1 FluLärmPadV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https://recht.nulegal.eu/gesetze/FluL%C3%A4rmPadV/1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