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FluLärmNörvV (Nordrhein-Westfalen)</w:t>
      </w:r>
    </w:p>
    <w:p>
      <w:r>
        <w:rPr>
          <w:color w:val="555555"/>
          <w:sz w:val="18"/>
        </w:rPr>
        <w:t xml:space="preserve">Fluglärmschutzverordnung Nörvenich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Lärmschutzbereich mit seinen zwei Tag-Schutzzonen und seiner Nacht-Schutzzone wird bestimmt durch die Verbindungslinien zwischen den in Anlage 1 genannten Kurvenpunkten, soweit diese Linien außerhalb des Flugplatzgeländes verlaufen.</w:t>
      </w:r>
    </w:p>
    <w:p>
      <w:r>
        <w:rPr>
          <w:color w:val="555555"/>
          <w:sz w:val="17"/>
        </w:rPr>
        <w:t xml:space="preserve">Zitiervorschlag: § 2 FluLärmNörvV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https://recht.nulegal.eu/gesetze/FluL%C3%A4rmN%C3%B6rvV/2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FluLärmNörvV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