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Anlage 2 FluLärmLechfV — (zu § 4 Abs. 1 der Verordnung über die Festsetzung des Lärmschutzbereichs für den militärischen Flugplatz Lechfeld in der Fassung der Zweiten Änderungsverordnung vom 6. März 1992)</w:t>
      </w:r>
    </w:p>
    <w:p>
      <w:r>
        <w:rPr>
          <w:color w:val="555555"/>
          <w:sz w:val="18"/>
        </w:rPr>
        <w:t xml:space="preserve">Verordnung über die Festsetzung des Lärmschutzbereichs für den militärischen Flugplatz Lechfeld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(Fundstelle: BGBl. I 1992, 485 - 486) [Abbildung] [Abbildung]</w:t>
      </w:r>
    </w:p>
    <w:p>
      <w:r>
        <w:rPr>
          <w:color w:val="555555"/>
          <w:sz w:val="17"/>
        </w:rPr>
        <w:t xml:space="preserve">Zitiervorschlag: Anlage 2 FluLärmLechfV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https://recht.nulegal.eu/gesetze/FluL%C3%A4rmLechfV/anlage-2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Anlage 2 FluLärmLechfV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